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xj99dsyh1akz" w:id="0"/>
      <w:bookmarkEnd w:id="0"/>
      <w:r w:rsidDel="00000000" w:rsidR="00000000" w:rsidRPr="00000000">
        <w:rPr>
          <w:rtl w:val="0"/>
        </w:rPr>
        <w:t xml:space="preserve">Readiness Quiz</w:t>
        <w:tab/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 </w:t>
      </w:r>
      <w:r w:rsidDel="00000000" w:rsidR="00000000" w:rsidRPr="00000000">
        <w:rPr>
          <w:rtl w:val="0"/>
        </w:rPr>
        <w:t xml:space="preserve">Answer the following questions by writing your response in the space provided.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1. List the four types of care you will provide for Baby.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2. List two other sounds (besides crying) Baby makes.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3. Before you can provide care for Baby, you must hear the _______________ that means Baby recognizes you.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4. Baby will record neglect if it takes you longer than _________ minute(s) to care for Baby.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5. Although real infants may be fussy for long periods of time, Baby will not be fussy for more than _________ minute(s).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6. List two things that happen if Baby is roughly handled, abused, or its head is not supported.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7. There are many things that you can do to prevent rough handling and head support failure. List two.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8. List three things that can permanently stain Baby’s skin.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9. What can you do to help protect Baby from stains?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10. How can you simulate bathing Baby?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11. Have you read and signed the Safety Precautions and Participant Contract?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___ Yes ___ No (You must do so before caring for Baby outside of class.)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